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Travelling by Public Transport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Abfahrt, departure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Ankunft, arrival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Auskunft,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Bahnsteig, platform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bestellen, to order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bezahlen, to pay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buchen, to 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Deutsche Bahn, German Rail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DB, German Rail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direkt, direct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einfach, single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Entwerter, ticket punching machine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Fähre,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Fahrgast, passenger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Fahrkarte,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Fahrplan, timetable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Fahrschein,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Flug, flight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Fluggäste, airline passengers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Flughafen, airport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Flugzeug, airplane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Gepäck, luggage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Gleis, platform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gültig, valid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Bushaltestelle, bus stop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Hauptbahnhof, main station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hin und zurück, return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Münze, coin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Nichtraucherabteil, non-smoker compartment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reservieren, to reserve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Reservierung, reservation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Richtung, direction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Rückfahrkarte, return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S-bahn, suburban railway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Schaffner, ticket collector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Schnellzug, express train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Straẞenbahn, tram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U-bahn, underground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Zug, train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Travelling by Car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Ampel, traffic lights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Ausfahrt, exit (motorway)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Autobahn, motorway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Autokennzeichen, registration plate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Benzin, petrol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bleifrei, lead free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Fahrt, journey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Kofferraum, car boot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LKW, lorry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Öl, oil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Parkplatz, car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Parkschein, parking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Parkverbot, no parking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PKW, car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volltanken, to fill the petrol tank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