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Festivals and Celebrations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Adventsmarkt, Christmas market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Christkindlmarkt, Christmas market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Weihnachtsmarkt, Christmas market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die Feier, party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feiern, to celebrate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der Feiertag, bank holiday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das Fest, festival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Feuerwerke, fireworks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Nikolaus, 6th December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Heiligabend, Christmas Eve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Weihnachten, Christmas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Silvester, New Year’s Eve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Ostern, Easter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Tag der Deutschen Einheit, Day of German Unity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Oktoberfest, Munich beer festival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Karneval, carnival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Besucher, visitors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besuchen, to visit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Bühne, stage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dauern, to last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Geburtstag, birthday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das Getränk, drink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Hochzeit, wedding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Karte, ticket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Kostümfest, fancy dress party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organisieren, to organise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planen, to plan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Preis, price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Spezialität, speciality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stattfinden, to take place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Thema, theme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Traumparty, dream party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Überraschungsparty, surprise party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sich verkleiden, to dress up as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Weltmeisterschaft, World Cup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zahlreich, numerous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